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7"/>
        <w:spacing w:after="0"/>
        <w:rPr>
          <w:sz w:val="20"/>
          <w:szCs w:val="20"/>
          <w:color w:val="auto"/>
        </w:rPr>
      </w:pPr>
      <w:r>
        <w:rPr>
          <w:rFonts w:ascii="Times New Roman" w:cs="Times New Roman" w:eastAsia="Times New Roman" w:hAnsi="Times New Roman"/>
          <w:sz w:val="17"/>
          <w:szCs w:val="17"/>
          <w:b w:val="1"/>
          <w:bCs w:val="1"/>
          <w:color w:val="auto"/>
        </w:rPr>
        <w:drawing>
          <wp:anchor simplePos="0" relativeHeight="251657728" behindDoc="1" locked="0" layoutInCell="0" allowOverlap="1">
            <wp:simplePos x="0" y="0"/>
            <wp:positionH relativeFrom="page">
              <wp:posOffset>185420</wp:posOffset>
            </wp:positionH>
            <wp:positionV relativeFrom="page">
              <wp:posOffset>546100</wp:posOffset>
            </wp:positionV>
            <wp:extent cx="7178040" cy="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78040" cy="11430"/>
                    </a:xfrm>
                    <a:prstGeom prst="rect">
                      <a:avLst/>
                    </a:prstGeom>
                    <a:noFill/>
                  </pic:spPr>
                </pic:pic>
              </a:graphicData>
            </a:graphic>
          </wp:anchor>
        </w:drawing>
        <w:t>UNITED STATES</w:t>
      </w:r>
    </w:p>
    <w:p>
      <w:pPr>
        <w:spacing w:after="0" w:line="25"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7"/>
          <w:szCs w:val="17"/>
          <w:b w:val="1"/>
          <w:bCs w:val="1"/>
          <w:color w:val="auto"/>
        </w:rPr>
        <w:t>SECURITIES AND EXCHANGE COMMISSION</w:t>
      </w:r>
    </w:p>
    <w:p>
      <w:pPr>
        <w:jc w:val="center"/>
        <w:ind w:right="-7"/>
        <w:spacing w:after="0"/>
        <w:rPr>
          <w:sz w:val="20"/>
          <w:szCs w:val="20"/>
          <w:color w:val="auto"/>
        </w:rPr>
      </w:pPr>
      <w:r>
        <w:rPr>
          <w:rFonts w:ascii="Times New Roman" w:cs="Times New Roman" w:eastAsia="Times New Roman" w:hAnsi="Times New Roman"/>
          <w:sz w:val="12"/>
          <w:szCs w:val="12"/>
          <w:b w:val="1"/>
          <w:bCs w:val="1"/>
          <w:color w:val="auto"/>
        </w:rPr>
        <w:t>Washington, D.C. 20549</w:t>
      </w:r>
    </w:p>
    <w:p>
      <w:pPr>
        <w:spacing w:after="0" w:line="130"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7"/>
          <w:szCs w:val="17"/>
          <w:b w:val="1"/>
          <w:bCs w:val="1"/>
          <w:color w:val="auto"/>
        </w:rPr>
        <w:t>FORM 8-K</w:t>
      </w:r>
    </w:p>
    <w:p>
      <w:pPr>
        <w:spacing w:after="0" w:line="150"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2"/>
          <w:szCs w:val="12"/>
          <w:b w:val="1"/>
          <w:bCs w:val="1"/>
          <w:color w:val="auto"/>
        </w:rPr>
        <w:t>CURRENT REPORT</w:t>
      </w:r>
    </w:p>
    <w:p>
      <w:pPr>
        <w:spacing w:after="0" w:line="21"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2"/>
          <w:szCs w:val="12"/>
          <w:b w:val="1"/>
          <w:bCs w:val="1"/>
          <w:color w:val="auto"/>
        </w:rPr>
        <w:t>Pursuant to Section 13 or 15(d) of The Securities Exchange Act of 1934</w:t>
      </w:r>
    </w:p>
    <w:p>
      <w:pPr>
        <w:spacing w:after="0" w:line="141"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1"/>
          <w:szCs w:val="11"/>
          <w:color w:val="auto"/>
        </w:rPr>
        <w:t>Date of Report (Date of earliest event reported): October 26, 2020</w:t>
      </w:r>
    </w:p>
    <w:p>
      <w:pPr>
        <w:spacing w:after="0" w:line="134"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6"/>
          <w:szCs w:val="16"/>
          <w:b w:val="1"/>
          <w:bCs w:val="1"/>
          <w:color w:val="auto"/>
        </w:rPr>
        <w:t>AMERICAN EQUITY INVESTMENT LIFE HOLDING COMPANY</w:t>
      </w:r>
    </w:p>
    <w:p>
      <w:pPr>
        <w:spacing w:after="0" w:line="35" w:lineRule="exact"/>
        <w:rPr>
          <w:sz w:val="24"/>
          <w:szCs w:val="24"/>
          <w:color w:val="auto"/>
        </w:rPr>
      </w:pPr>
    </w:p>
    <w:p>
      <w:pPr>
        <w:jc w:val="center"/>
        <w:ind w:right="-7"/>
        <w:spacing w:after="0"/>
        <w:rPr>
          <w:sz w:val="20"/>
          <w:szCs w:val="20"/>
          <w:color w:val="auto"/>
        </w:rPr>
      </w:pPr>
      <w:r>
        <w:rPr>
          <w:rFonts w:ascii="Times New Roman" w:cs="Times New Roman" w:eastAsia="Times New Roman" w:hAnsi="Times New Roman"/>
          <w:sz w:val="11"/>
          <w:szCs w:val="11"/>
          <w:color w:val="auto"/>
        </w:rPr>
        <w:t>(Exact name of registrant as specified in its charter)</w:t>
      </w:r>
    </w:p>
    <w:p>
      <w:pPr>
        <w:sectPr>
          <w:pgSz w:w="11900" w:h="16838" w:orient="portrait"/>
          <w:cols w:equalWidth="0" w:num="1">
            <w:col w:w="11288"/>
          </w:cols>
          <w:pgMar w:left="292" w:top="913" w:right="319" w:bottom="1440" w:gutter="0" w:footer="0" w:header="0"/>
        </w:sectPr>
      </w:pPr>
    </w:p>
    <w:p>
      <w:pPr>
        <w:spacing w:after="0" w:line="85" w:lineRule="exact"/>
        <w:rPr>
          <w:sz w:val="24"/>
          <w:szCs w:val="24"/>
          <w:color w:val="auto"/>
        </w:rPr>
      </w:pPr>
    </w:p>
    <w:p>
      <w:pPr>
        <w:ind w:left="1768"/>
        <w:spacing w:after="0"/>
        <w:rPr>
          <w:sz w:val="20"/>
          <w:szCs w:val="20"/>
          <w:color w:val="auto"/>
        </w:rPr>
      </w:pPr>
      <w:r>
        <w:rPr>
          <w:rFonts w:ascii="Times New Roman" w:cs="Times New Roman" w:eastAsia="Times New Roman" w:hAnsi="Times New Roman"/>
          <w:sz w:val="11"/>
          <w:szCs w:val="11"/>
          <w:b w:val="1"/>
          <w:bCs w:val="1"/>
          <w:color w:val="auto"/>
        </w:rPr>
        <w:t>Iowa</w:t>
      </w:r>
    </w:p>
    <w:p>
      <w:pPr>
        <w:spacing w:after="0" w:line="20" w:lineRule="exact"/>
        <w:rPr>
          <w:sz w:val="24"/>
          <w:szCs w:val="24"/>
          <w:color w:val="auto"/>
        </w:rPr>
      </w:pPr>
      <w:r>
        <w:rPr>
          <w:sz w:val="24"/>
          <w:szCs w:val="24"/>
          <w:color w:val="auto"/>
        </w:rPr>
        <w:br w:type="column"/>
      </w:r>
    </w:p>
    <w:p>
      <w:pPr>
        <w:spacing w:after="0" w:line="65" w:lineRule="exact"/>
        <w:rPr>
          <w:sz w:val="24"/>
          <w:szCs w:val="24"/>
          <w:color w:val="auto"/>
        </w:rPr>
      </w:pPr>
    </w:p>
    <w:p>
      <w:pPr>
        <w:jc w:val="center"/>
        <w:ind w:right="2560"/>
        <w:spacing w:after="0"/>
        <w:rPr>
          <w:sz w:val="20"/>
          <w:szCs w:val="20"/>
          <w:color w:val="auto"/>
        </w:rPr>
      </w:pPr>
      <w:r>
        <w:rPr>
          <w:rFonts w:ascii="Times New Roman" w:cs="Times New Roman" w:eastAsia="Times New Roman" w:hAnsi="Times New Roman"/>
          <w:sz w:val="10"/>
          <w:szCs w:val="10"/>
          <w:b w:val="1"/>
          <w:bCs w:val="1"/>
          <w:color w:val="auto"/>
        </w:rPr>
        <w:t>001-31911</w:t>
      </w:r>
    </w:p>
    <w:p>
      <w:pPr>
        <w:spacing w:after="0" w:line="20" w:lineRule="exact"/>
        <w:rPr>
          <w:sz w:val="24"/>
          <w:szCs w:val="24"/>
          <w:color w:val="auto"/>
        </w:rPr>
      </w:pPr>
      <w:r>
        <w:rPr>
          <w:sz w:val="24"/>
          <w:szCs w:val="24"/>
          <w:color w:val="auto"/>
        </w:rPr>
        <w:br w:type="column"/>
      </w:r>
    </w:p>
    <w:p>
      <w:pPr>
        <w:spacing w:after="0" w:line="65" w:lineRule="exact"/>
        <w:rPr>
          <w:sz w:val="24"/>
          <w:szCs w:val="24"/>
          <w:color w:val="auto"/>
        </w:rPr>
      </w:pPr>
    </w:p>
    <w:p>
      <w:pPr>
        <w:spacing w:after="0"/>
        <w:rPr>
          <w:sz w:val="20"/>
          <w:szCs w:val="20"/>
          <w:color w:val="auto"/>
        </w:rPr>
      </w:pPr>
      <w:r>
        <w:rPr>
          <w:rFonts w:ascii="Times New Roman" w:cs="Times New Roman" w:eastAsia="Times New Roman" w:hAnsi="Times New Roman"/>
          <w:sz w:val="10"/>
          <w:szCs w:val="10"/>
          <w:b w:val="1"/>
          <w:bCs w:val="1"/>
          <w:color w:val="auto"/>
        </w:rPr>
        <w:t>42-1447959</w:t>
      </w:r>
    </w:p>
    <w:p>
      <w:pPr>
        <w:spacing w:after="0" w:line="58" w:lineRule="exact"/>
        <w:rPr>
          <w:sz w:val="24"/>
          <w:szCs w:val="24"/>
          <w:color w:val="auto"/>
        </w:rPr>
      </w:pPr>
    </w:p>
    <w:p>
      <w:pPr>
        <w:sectPr>
          <w:pgSz w:w="11900" w:h="16838" w:orient="portrait"/>
          <w:cols w:equalWidth="0" w:num="3">
            <w:col w:w="4708" w:space="720"/>
            <w:col w:w="3020" w:space="720"/>
            <w:col w:w="2120"/>
          </w:cols>
          <w:pgMar w:left="292" w:top="913" w:right="319" w:bottom="1440" w:gutter="0" w:footer="0" w:header="0"/>
          <w:type w:val="continuous"/>
        </w:sectPr>
      </w:pPr>
    </w:p>
    <w:p>
      <w:pPr>
        <w:jc w:val="center"/>
        <w:ind w:right="552"/>
        <w:spacing w:after="0"/>
        <w:rPr>
          <w:sz w:val="20"/>
          <w:szCs w:val="20"/>
          <w:color w:val="auto"/>
        </w:rPr>
      </w:pPr>
      <w:r>
        <w:rPr>
          <w:rFonts w:ascii="Times New Roman" w:cs="Times New Roman" w:eastAsia="Times New Roman" w:hAnsi="Times New Roman"/>
          <w:sz w:val="10"/>
          <w:szCs w:val="10"/>
          <w:color w:val="auto"/>
        </w:rPr>
        <w:t>(State or other jurisdiction</w:t>
      </w:r>
    </w:p>
    <w:p>
      <w:pPr>
        <w:spacing w:after="0" w:line="25"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11"/>
          <w:szCs w:val="11"/>
          <w:color w:val="auto"/>
        </w:rPr>
        <w:t>of incorporation)</w:t>
      </w:r>
    </w:p>
    <w:p>
      <w:pPr>
        <w:spacing w:after="0" w:line="20" w:lineRule="exact"/>
        <w:rPr>
          <w:sz w:val="24"/>
          <w:szCs w:val="24"/>
          <w:color w:val="auto"/>
        </w:rPr>
      </w:pPr>
      <w:r>
        <w:rPr>
          <w:sz w:val="24"/>
          <w:szCs w:val="24"/>
          <w:color w:val="auto"/>
        </w:rPr>
        <w:br w:type="column"/>
      </w:r>
    </w:p>
    <w:p>
      <w:pPr>
        <w:jc w:val="center"/>
        <w:ind w:right="2040"/>
        <w:spacing w:after="0"/>
        <w:rPr>
          <w:sz w:val="20"/>
          <w:szCs w:val="20"/>
          <w:color w:val="auto"/>
        </w:rPr>
      </w:pPr>
      <w:r>
        <w:rPr>
          <w:rFonts w:ascii="Times New Roman" w:cs="Times New Roman" w:eastAsia="Times New Roman" w:hAnsi="Times New Roman"/>
          <w:sz w:val="10"/>
          <w:szCs w:val="10"/>
          <w:color w:val="auto"/>
        </w:rPr>
        <w:t>(Commission File Number)</w:t>
      </w:r>
    </w:p>
    <w:p>
      <w:pPr>
        <w:spacing w:after="0" w:line="20" w:lineRule="exact"/>
        <w:rPr>
          <w:sz w:val="24"/>
          <w:szCs w:val="24"/>
          <w:color w:val="auto"/>
        </w:rPr>
      </w:pPr>
      <w:r>
        <w:rPr>
          <w:sz w:val="24"/>
          <w:szCs w:val="24"/>
          <w:color w:val="auto"/>
        </w:rPr>
        <w:br w:type="column"/>
      </w:r>
    </w:p>
    <w:p>
      <w:pPr>
        <w:jc w:val="center"/>
        <w:ind w:right="1460"/>
        <w:spacing w:after="0"/>
        <w:rPr>
          <w:sz w:val="20"/>
          <w:szCs w:val="20"/>
          <w:color w:val="auto"/>
        </w:rPr>
      </w:pPr>
      <w:r>
        <w:rPr>
          <w:rFonts w:ascii="Times New Roman" w:cs="Times New Roman" w:eastAsia="Times New Roman" w:hAnsi="Times New Roman"/>
          <w:sz w:val="11"/>
          <w:szCs w:val="11"/>
          <w:color w:val="auto"/>
        </w:rPr>
        <w:t>(IRS Employer</w:t>
      </w:r>
    </w:p>
    <w:p>
      <w:pPr>
        <w:spacing w:after="0" w:line="14" w:lineRule="exact"/>
        <w:rPr>
          <w:sz w:val="24"/>
          <w:szCs w:val="24"/>
          <w:color w:val="auto"/>
        </w:rPr>
      </w:pPr>
    </w:p>
    <w:p>
      <w:pPr>
        <w:jc w:val="center"/>
        <w:ind w:right="1460"/>
        <w:spacing w:after="0"/>
        <w:rPr>
          <w:sz w:val="20"/>
          <w:szCs w:val="20"/>
          <w:color w:val="auto"/>
        </w:rPr>
      </w:pPr>
      <w:r>
        <w:rPr>
          <w:rFonts w:ascii="Times New Roman" w:cs="Times New Roman" w:eastAsia="Times New Roman" w:hAnsi="Times New Roman"/>
          <w:sz w:val="10"/>
          <w:szCs w:val="10"/>
          <w:color w:val="auto"/>
        </w:rPr>
        <w:t>Identification No.)</w:t>
      </w:r>
    </w:p>
    <w:p>
      <w:pPr>
        <w:spacing w:after="0" w:line="211" w:lineRule="exact"/>
        <w:rPr>
          <w:sz w:val="24"/>
          <w:szCs w:val="24"/>
          <w:color w:val="auto"/>
        </w:rPr>
      </w:pPr>
    </w:p>
    <w:p>
      <w:pPr>
        <w:sectPr>
          <w:pgSz w:w="11900" w:h="16838" w:orient="portrait"/>
          <w:cols w:equalWidth="0" w:num="3">
            <w:col w:w="4348" w:space="720"/>
            <w:col w:w="3240" w:space="720"/>
            <w:col w:w="2260"/>
          </w:cols>
          <w:pgMar w:left="292" w:top="913" w:right="319" w:bottom="1440" w:gutter="0" w:footer="0" w:header="0"/>
          <w:type w:val="continuous"/>
        </w:sectPr>
      </w:pPr>
    </w:p>
    <w:p>
      <w:pPr>
        <w:spacing w:after="0" w:line="26"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6000 Westown Parkway</w:t>
      </w:r>
    </w:p>
    <w:p>
      <w:pPr>
        <w:spacing w:after="0" w:line="13"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West Des Moines, IA 50266</w:t>
      </w:r>
    </w:p>
    <w:p>
      <w:pPr>
        <w:jc w:val="center"/>
        <w:ind w:right="-27"/>
        <w:spacing w:after="0"/>
        <w:rPr>
          <w:sz w:val="20"/>
          <w:szCs w:val="20"/>
          <w:color w:val="auto"/>
        </w:rPr>
      </w:pPr>
      <w:r>
        <w:rPr>
          <w:rFonts w:ascii="Times New Roman" w:cs="Times New Roman" w:eastAsia="Times New Roman" w:hAnsi="Times New Roman"/>
          <w:sz w:val="11"/>
          <w:szCs w:val="11"/>
          <w:color w:val="auto"/>
        </w:rPr>
        <w:t>(Address of principal executive offices and zip code)</w:t>
      </w:r>
    </w:p>
    <w:p>
      <w:pPr>
        <w:spacing w:after="0" w:line="130"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(515) 221-0002</w:t>
      </w:r>
    </w:p>
    <w:p>
      <w:pPr>
        <w:spacing w:after="0" w:line="14"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color w:val="auto"/>
        </w:rPr>
        <w:t>(Registrant's telephone number, including area code)</w:t>
      </w:r>
    </w:p>
    <w:p>
      <w:pPr>
        <w:spacing w:after="0" w:line="130"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1"/>
          <w:szCs w:val="11"/>
          <w:b w:val="1"/>
          <w:bCs w:val="1"/>
          <w:color w:val="auto"/>
        </w:rPr>
        <w:t>Not Applicable</w:t>
      </w:r>
    </w:p>
    <w:p>
      <w:pPr>
        <w:spacing w:after="0" w:line="14" w:lineRule="exact"/>
        <w:rPr>
          <w:sz w:val="24"/>
          <w:szCs w:val="24"/>
          <w:color w:val="auto"/>
        </w:rPr>
      </w:pPr>
    </w:p>
    <w:p>
      <w:pPr>
        <w:jc w:val="center"/>
        <w:ind w:right="-27"/>
        <w:spacing w:after="0"/>
        <w:rPr>
          <w:sz w:val="20"/>
          <w:szCs w:val="20"/>
          <w:color w:val="auto"/>
        </w:rPr>
      </w:pPr>
      <w:r>
        <w:rPr>
          <w:rFonts w:ascii="Times New Roman" w:cs="Times New Roman" w:eastAsia="Times New Roman" w:hAnsi="Times New Roman"/>
          <w:sz w:val="10"/>
          <w:szCs w:val="10"/>
          <w:color w:val="auto"/>
        </w:rPr>
        <w:t>(Former name or former address, if changed since last report)</w:t>
      </w:r>
    </w:p>
    <w:p>
      <w:pPr>
        <w:sectPr>
          <w:pgSz w:w="11900" w:h="16838" w:orient="portrait"/>
          <w:cols w:equalWidth="0" w:num="1">
            <w:col w:w="11288"/>
          </w:cols>
          <w:pgMar w:left="292" w:top="913" w:right="319" w:bottom="1440" w:gutter="0" w:footer="0" w:header="0"/>
          <w:type w:val="continuous"/>
        </w:sectPr>
      </w:pPr>
    </w:p>
    <w:p>
      <w:pPr>
        <w:spacing w:after="0" w:line="143" w:lineRule="exact"/>
        <w:rPr>
          <w:sz w:val="24"/>
          <w:szCs w:val="24"/>
          <w:color w:val="auto"/>
        </w:rPr>
      </w:pPr>
    </w:p>
    <w:p>
      <w:pPr>
        <w:ind w:left="8"/>
        <w:spacing w:after="0"/>
        <w:rPr>
          <w:sz w:val="20"/>
          <w:szCs w:val="20"/>
          <w:color w:val="auto"/>
        </w:rPr>
      </w:pPr>
      <w:r>
        <w:rPr>
          <w:rFonts w:ascii="Times New Roman" w:cs="Times New Roman" w:eastAsia="Times New Roman" w:hAnsi="Times New Roman"/>
          <w:sz w:val="11"/>
          <w:szCs w:val="11"/>
          <w:color w:val="auto"/>
        </w:rPr>
        <w:t>Check the appropriate box below if the Form 8-K filing is intended to simultaneously satisfy the filing obligation of the registrant under any of the following provisions:</w:t>
      </w:r>
    </w:p>
    <w:p>
      <w:pPr>
        <w:spacing w:after="0" w:line="72" w:lineRule="exact"/>
        <w:rPr>
          <w:sz w:val="24"/>
          <w:szCs w:val="24"/>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Written communications pursuant to Rule 425 under the Securities Act (17 CFR 230.425)</w:t>
      </w:r>
    </w:p>
    <w:p>
      <w:pPr>
        <w:spacing w:after="0" w:line="71" w:lineRule="exact"/>
        <w:rPr>
          <w:rFonts w:ascii="MS PGothic" w:cs="MS PGothic" w:eastAsia="MS PGothic" w:hAnsi="MS PGothic"/>
          <w:sz w:val="11"/>
          <w:szCs w:val="11"/>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Soliciting material pursuant to Rule 14a-12 under the Exchange Act (17 CFR 240.14a-12)</w:t>
      </w:r>
    </w:p>
    <w:p>
      <w:pPr>
        <w:spacing w:after="0" w:line="71" w:lineRule="exact"/>
        <w:rPr>
          <w:rFonts w:ascii="MS PGothic" w:cs="MS PGothic" w:eastAsia="MS PGothic" w:hAnsi="MS PGothic"/>
          <w:sz w:val="11"/>
          <w:szCs w:val="11"/>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Pre-commencement communications pursuant to Rule 14d-2(b) under the Exchange Act (17 CFR 240.14d-2(b))</w:t>
      </w:r>
    </w:p>
    <w:p>
      <w:pPr>
        <w:spacing w:after="0" w:line="71" w:lineRule="exact"/>
        <w:rPr>
          <w:rFonts w:ascii="MS PGothic" w:cs="MS PGothic" w:eastAsia="MS PGothic" w:hAnsi="MS PGothic"/>
          <w:sz w:val="11"/>
          <w:szCs w:val="11"/>
          <w:color w:val="auto"/>
        </w:rPr>
      </w:pPr>
    </w:p>
    <w:p>
      <w:pPr>
        <w:ind w:left="128" w:hanging="128"/>
        <w:spacing w:after="0"/>
        <w:tabs>
          <w:tab w:leader="none" w:pos="128" w:val="left"/>
        </w:tabs>
        <w:numPr>
          <w:ilvl w:val="0"/>
          <w:numId w:val="1"/>
        </w:numPr>
        <w:rPr>
          <w:rFonts w:ascii="MS PGothic" w:cs="MS PGothic" w:eastAsia="MS PGothic" w:hAnsi="MS PGothic"/>
          <w:sz w:val="11"/>
          <w:szCs w:val="11"/>
          <w:color w:val="auto"/>
        </w:rPr>
      </w:pPr>
      <w:r>
        <w:rPr>
          <w:rFonts w:ascii="Times New Roman" w:cs="Times New Roman" w:eastAsia="Times New Roman" w:hAnsi="Times New Roman"/>
          <w:sz w:val="11"/>
          <w:szCs w:val="11"/>
          <w:color w:val="auto"/>
        </w:rPr>
        <w:t>Pre-commencement communications pursuant to Rule 13e-4(c) under the Exchange Act (17 CFR 240.13e-4(c))</w:t>
      </w:r>
    </w:p>
    <w:p>
      <w:pPr>
        <w:spacing w:after="0" w:line="162" w:lineRule="exact"/>
        <w:rPr>
          <w:sz w:val="24"/>
          <w:szCs w:val="24"/>
          <w:color w:val="auto"/>
        </w:rPr>
      </w:pPr>
    </w:p>
    <w:tbl>
      <w:tblPr>
        <w:tblLayout w:type="fixed"/>
        <w:tblInd w:w="8" w:type="dxa"/>
        <w:tblCellMar>
          <w:top w:w="0" w:type="dxa"/>
          <w:left w:w="0" w:type="dxa"/>
          <w:bottom w:w="0" w:type="dxa"/>
          <w:right w:w="0" w:type="dxa"/>
        </w:tblCellMar>
      </w:tblPr>
      <w:tr>
        <w:trPr>
          <w:trHeight w:val="140"/>
        </w:trPr>
        <w:tc>
          <w:tcPr>
            <w:tcW w:w="5280" w:type="dxa"/>
            <w:vAlign w:val="bottom"/>
            <w:gridSpan w:val="2"/>
          </w:tcPr>
          <w:p>
            <w:pPr>
              <w:spacing w:after="0"/>
              <w:rPr>
                <w:sz w:val="20"/>
                <w:szCs w:val="20"/>
                <w:color w:val="auto"/>
              </w:rPr>
            </w:pPr>
            <w:r>
              <w:rPr>
                <w:rFonts w:ascii="Times New Roman" w:cs="Times New Roman" w:eastAsia="Times New Roman" w:hAnsi="Times New Roman"/>
                <w:sz w:val="11"/>
                <w:szCs w:val="11"/>
                <w:color w:val="auto"/>
              </w:rPr>
              <w:t>Securities registered pursuant to Section 12(b) of the Act:</w:t>
            </w:r>
          </w:p>
        </w:tc>
        <w:tc>
          <w:tcPr>
            <w:tcW w:w="1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940" w:type="dxa"/>
            <w:vAlign w:val="bottom"/>
          </w:tcPr>
          <w:p>
            <w:pPr>
              <w:spacing w:after="0"/>
              <w:rPr>
                <w:sz w:val="12"/>
                <w:szCs w:val="12"/>
                <w:color w:val="auto"/>
              </w:rPr>
            </w:pPr>
          </w:p>
        </w:tc>
      </w:tr>
      <w:tr>
        <w:trPr>
          <w:trHeight w:val="216"/>
        </w:trPr>
        <w:tc>
          <w:tcPr>
            <w:tcW w:w="5280" w:type="dxa"/>
            <w:vAlign w:val="bottom"/>
            <w:gridSpan w:val="2"/>
          </w:tcPr>
          <w:p>
            <w:pPr>
              <w:jc w:val="center"/>
              <w:ind w:right="100"/>
              <w:spacing w:after="0"/>
              <w:rPr>
                <w:sz w:val="20"/>
                <w:szCs w:val="20"/>
                <w:color w:val="auto"/>
              </w:rPr>
            </w:pPr>
            <w:r>
              <w:rPr>
                <w:rFonts w:ascii="Times New Roman" w:cs="Times New Roman" w:eastAsia="Times New Roman" w:hAnsi="Times New Roman"/>
                <w:sz w:val="11"/>
                <w:szCs w:val="11"/>
                <w:color w:val="auto"/>
                <w:w w:val="97"/>
              </w:rPr>
              <w:t>Title of each class</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8"/>
              </w:rPr>
              <w:t>Trading Symbol(s)</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7"/>
              </w:rPr>
              <w:t>Name of each exchange on which registered</w:t>
            </w:r>
          </w:p>
        </w:tc>
      </w:tr>
      <w:tr>
        <w:trPr>
          <w:trHeight w:val="22"/>
        </w:trPr>
        <w:tc>
          <w:tcPr>
            <w:tcW w:w="52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940" w:type="dxa"/>
            <w:vAlign w:val="bottom"/>
            <w:tcBorders>
              <w:bottom w:val="single" w:sz="8" w:color="auto"/>
            </w:tcBorders>
          </w:tcPr>
          <w:p>
            <w:pPr>
              <w:spacing w:after="0" w:line="20" w:lineRule="exact"/>
              <w:rPr>
                <w:sz w:val="1"/>
                <w:szCs w:val="1"/>
                <w:color w:val="auto"/>
              </w:rPr>
            </w:pPr>
          </w:p>
        </w:tc>
      </w:tr>
      <w:tr>
        <w:trPr>
          <w:trHeight w:val="138"/>
        </w:trPr>
        <w:tc>
          <w:tcPr>
            <w:tcW w:w="528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7"/>
              </w:rPr>
              <w:t>Common stock, par value $1</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rPr>
              <w:t>AEL</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8"/>
              </w:rPr>
              <w:t>New York Stock Exchange</w:t>
            </w:r>
          </w:p>
        </w:tc>
      </w:tr>
      <w:tr>
        <w:trPr>
          <w:trHeight w:val="166"/>
        </w:trPr>
        <w:tc>
          <w:tcPr>
            <w:tcW w:w="528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7"/>
              </w:rPr>
              <w:t>Depositary Shares, each representing a 1/1,000th interest in a share of 5.95% Fixed-Rate Reset Non-Cumulative</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8"/>
              </w:rPr>
              <w:t>AELPRA</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8"/>
              </w:rPr>
              <w:t>New York Stock Exchange</w:t>
            </w:r>
          </w:p>
        </w:tc>
      </w:tr>
      <w:tr>
        <w:trPr>
          <w:trHeight w:val="140"/>
        </w:trPr>
        <w:tc>
          <w:tcPr>
            <w:tcW w:w="5280" w:type="dxa"/>
            <w:vAlign w:val="bottom"/>
            <w:gridSpan w:val="2"/>
          </w:tcPr>
          <w:p>
            <w:pPr>
              <w:jc w:val="center"/>
              <w:ind w:right="100"/>
              <w:spacing w:after="0"/>
              <w:rPr>
                <w:sz w:val="20"/>
                <w:szCs w:val="20"/>
                <w:color w:val="auto"/>
              </w:rPr>
            </w:pPr>
            <w:r>
              <w:rPr>
                <w:rFonts w:ascii="Times New Roman" w:cs="Times New Roman" w:eastAsia="Times New Roman" w:hAnsi="Times New Roman"/>
                <w:sz w:val="11"/>
                <w:szCs w:val="11"/>
                <w:color w:val="auto"/>
                <w:w w:val="98"/>
              </w:rPr>
              <w:t>Preferred Stock, Series A</w:t>
            </w:r>
          </w:p>
        </w:tc>
        <w:tc>
          <w:tcPr>
            <w:tcW w:w="1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940" w:type="dxa"/>
            <w:vAlign w:val="bottom"/>
          </w:tcPr>
          <w:p>
            <w:pPr>
              <w:spacing w:after="0"/>
              <w:rPr>
                <w:sz w:val="12"/>
                <w:szCs w:val="12"/>
                <w:color w:val="auto"/>
              </w:rPr>
            </w:pPr>
          </w:p>
        </w:tc>
      </w:tr>
      <w:tr>
        <w:trPr>
          <w:trHeight w:val="166"/>
        </w:trPr>
        <w:tc>
          <w:tcPr>
            <w:tcW w:w="5280" w:type="dxa"/>
            <w:vAlign w:val="bottom"/>
            <w:gridSpan w:val="2"/>
          </w:tcPr>
          <w:p>
            <w:pPr>
              <w:jc w:val="center"/>
              <w:ind w:right="100"/>
              <w:spacing w:after="0"/>
              <w:rPr>
                <w:sz w:val="20"/>
                <w:szCs w:val="20"/>
                <w:color w:val="auto"/>
              </w:rPr>
            </w:pPr>
            <w:r>
              <w:rPr>
                <w:rFonts w:ascii="Times New Roman" w:cs="Times New Roman" w:eastAsia="Times New Roman" w:hAnsi="Times New Roman"/>
                <w:sz w:val="11"/>
                <w:szCs w:val="11"/>
                <w:color w:val="auto"/>
                <w:w w:val="98"/>
              </w:rPr>
              <w:t>Depositary Shares, each representing a 1/1,000th interest in a share of 6.625% Fixed-Rate Reset Non-Cumulative</w:t>
            </w:r>
          </w:p>
        </w:tc>
        <w:tc>
          <w:tcPr>
            <w:tcW w:w="206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9"/>
              </w:rPr>
              <w:t>AELPRB</w:t>
            </w:r>
          </w:p>
        </w:tc>
        <w:tc>
          <w:tcPr>
            <w:tcW w:w="3940" w:type="dxa"/>
            <w:vAlign w:val="bottom"/>
          </w:tcPr>
          <w:p>
            <w:pPr>
              <w:jc w:val="center"/>
              <w:spacing w:after="0"/>
              <w:rPr>
                <w:sz w:val="20"/>
                <w:szCs w:val="20"/>
                <w:color w:val="auto"/>
              </w:rPr>
            </w:pPr>
            <w:r>
              <w:rPr>
                <w:rFonts w:ascii="Times New Roman" w:cs="Times New Roman" w:eastAsia="Times New Roman" w:hAnsi="Times New Roman"/>
                <w:sz w:val="11"/>
                <w:szCs w:val="11"/>
                <w:color w:val="auto"/>
                <w:w w:val="98"/>
              </w:rPr>
              <w:t>New York Stock Exchange</w:t>
            </w:r>
          </w:p>
        </w:tc>
      </w:tr>
      <w:tr>
        <w:trPr>
          <w:trHeight w:val="140"/>
        </w:trPr>
        <w:tc>
          <w:tcPr>
            <w:tcW w:w="5280" w:type="dxa"/>
            <w:vAlign w:val="bottom"/>
            <w:gridSpan w:val="2"/>
          </w:tcPr>
          <w:p>
            <w:pPr>
              <w:jc w:val="center"/>
              <w:ind w:right="80"/>
              <w:spacing w:after="0"/>
              <w:rPr>
                <w:sz w:val="20"/>
                <w:szCs w:val="20"/>
                <w:color w:val="auto"/>
              </w:rPr>
            </w:pPr>
            <w:r>
              <w:rPr>
                <w:rFonts w:ascii="Times New Roman" w:cs="Times New Roman" w:eastAsia="Times New Roman" w:hAnsi="Times New Roman"/>
                <w:sz w:val="11"/>
                <w:szCs w:val="11"/>
                <w:color w:val="auto"/>
                <w:w w:val="97"/>
              </w:rPr>
              <w:t>Preferred Stock, Series B</w:t>
            </w:r>
          </w:p>
        </w:tc>
        <w:tc>
          <w:tcPr>
            <w:tcW w:w="1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940" w:type="dxa"/>
            <w:vAlign w:val="bottom"/>
          </w:tcPr>
          <w:p>
            <w:pPr>
              <w:spacing w:after="0"/>
              <w:rPr>
                <w:sz w:val="12"/>
                <w:szCs w:val="12"/>
                <w:color w:val="auto"/>
              </w:rPr>
            </w:pPr>
          </w:p>
        </w:tc>
      </w:tr>
    </w:tbl>
    <w:p>
      <w:pPr>
        <w:spacing w:after="0" w:line="238" w:lineRule="exact"/>
        <w:rPr>
          <w:sz w:val="24"/>
          <w:szCs w:val="24"/>
          <w:color w:val="auto"/>
        </w:rPr>
      </w:pPr>
    </w:p>
    <w:p>
      <w:pPr>
        <w:ind w:left="8" w:right="5620"/>
        <w:spacing w:after="0" w:line="265" w:lineRule="auto"/>
        <w:rPr>
          <w:sz w:val="20"/>
          <w:szCs w:val="20"/>
          <w:color w:val="auto"/>
        </w:rPr>
      </w:pPr>
      <w:r>
        <w:rPr>
          <w:rFonts w:ascii="Times New Roman" w:cs="Times New Roman" w:eastAsia="Times New Roman" w:hAnsi="Times New Roman"/>
          <w:sz w:val="11"/>
          <w:szCs w:val="11"/>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29" w:lineRule="exact"/>
        <w:rPr>
          <w:sz w:val="24"/>
          <w:szCs w:val="24"/>
          <w:color w:val="auto"/>
        </w:rPr>
      </w:pPr>
    </w:p>
    <w:p>
      <w:pPr>
        <w:ind w:left="8"/>
        <w:spacing w:after="0" w:line="127" w:lineRule="exact"/>
        <w:rPr>
          <w:sz w:val="20"/>
          <w:szCs w:val="20"/>
          <w:color w:val="auto"/>
        </w:rPr>
      </w:pPr>
      <w:r>
        <w:rPr>
          <w:rFonts w:ascii="Times New Roman" w:cs="Times New Roman" w:eastAsia="Times New Roman" w:hAnsi="Times New Roman"/>
          <w:sz w:val="11"/>
          <w:szCs w:val="11"/>
          <w:color w:val="auto"/>
        </w:rPr>
        <w:t xml:space="preserve">Emerging growth company </w:t>
      </w:r>
      <w:r>
        <w:rPr>
          <w:rFonts w:ascii="MS PGothic" w:cs="MS PGothic" w:eastAsia="MS PGothic" w:hAnsi="MS PGothic"/>
          <w:sz w:val="11"/>
          <w:szCs w:val="11"/>
          <w:color w:val="auto"/>
        </w:rPr>
        <w:t>☐</w:t>
      </w:r>
    </w:p>
    <w:p>
      <w:pPr>
        <w:spacing w:after="0" w:line="72" w:lineRule="exact"/>
        <w:rPr>
          <w:sz w:val="24"/>
          <w:szCs w:val="24"/>
          <w:color w:val="auto"/>
        </w:rPr>
      </w:pPr>
    </w:p>
    <w:p>
      <w:pPr>
        <w:ind w:left="8"/>
        <w:spacing w:after="0" w:line="127" w:lineRule="exact"/>
        <w:rPr>
          <w:sz w:val="20"/>
          <w:szCs w:val="20"/>
          <w:color w:val="auto"/>
        </w:rPr>
      </w:pPr>
      <w:r>
        <w:rPr>
          <w:rFonts w:ascii="Times New Roman" w:cs="Times New Roman" w:eastAsia="Times New Roman" w:hAnsi="Times New Roman"/>
          <w:sz w:val="11"/>
          <w:szCs w:val="11"/>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1"/>
          <w:szCs w:val="11"/>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0</wp:posOffset>
            </wp:positionH>
            <wp:positionV relativeFrom="paragraph">
              <wp:posOffset>724535</wp:posOffset>
            </wp:positionV>
            <wp:extent cx="7178040" cy="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78040" cy="1143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101600</wp:posOffset>
            </wp:positionV>
            <wp:extent cx="7178040" cy="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78040" cy="11430"/>
                    </a:xfrm>
                    <a:prstGeom prst="rect">
                      <a:avLst/>
                    </a:prstGeom>
                    <a:noFill/>
                  </pic:spPr>
                </pic:pic>
              </a:graphicData>
            </a:graphic>
          </wp:anchor>
        </w:drawing>
      </w:r>
    </w:p>
    <w:p>
      <w:pPr>
        <w:sectPr>
          <w:pgSz w:w="11900" w:h="16838" w:orient="portrait"/>
          <w:cols w:equalWidth="0" w:num="1">
            <w:col w:w="11288"/>
          </w:cols>
          <w:pgMar w:left="292" w:top="913" w:right="319" w:bottom="1440" w:gutter="0" w:footer="0" w:header="0"/>
          <w:type w:val="continuous"/>
        </w:sectPr>
      </w:pPr>
    </w:p>
    <w:bookmarkStart w:id="1" w:name="page2"/>
    <w:bookmarkEnd w:id="1"/>
    <w:p>
      <w:pPr>
        <w:ind w:left="8"/>
        <w:spacing w:after="0"/>
        <w:rPr>
          <w:sz w:val="20"/>
          <w:szCs w:val="20"/>
          <w:color w:val="auto"/>
        </w:rPr>
      </w:pPr>
      <w:r>
        <w:rPr>
          <w:rFonts w:ascii="Times New Roman" w:cs="Times New Roman" w:eastAsia="Times New Roman" w:hAnsi="Times New Roman"/>
          <w:sz w:val="11"/>
          <w:szCs w:val="11"/>
          <w:b w:val="1"/>
          <w:bCs w:val="1"/>
          <w:color w:val="auto"/>
        </w:rPr>
        <w:t>Item 7.01 Regulation FD Disclosure</w:t>
      </w:r>
    </w:p>
    <w:p>
      <w:pPr>
        <w:spacing w:after="0" w:line="101" w:lineRule="exact"/>
        <w:rPr>
          <w:sz w:val="20"/>
          <w:szCs w:val="20"/>
          <w:color w:val="auto"/>
        </w:rPr>
      </w:pPr>
    </w:p>
    <w:p>
      <w:pPr>
        <w:ind w:left="8"/>
        <w:spacing w:after="0"/>
        <w:rPr>
          <w:sz w:val="20"/>
          <w:szCs w:val="20"/>
          <w:color w:val="auto"/>
        </w:rPr>
      </w:pPr>
      <w:r>
        <w:rPr>
          <w:rFonts w:ascii="Times New Roman" w:cs="Times New Roman" w:eastAsia="Times New Roman" w:hAnsi="Times New Roman"/>
          <w:sz w:val="11"/>
          <w:szCs w:val="11"/>
          <w:color w:val="auto"/>
        </w:rPr>
        <w:t>The Company released an investor video presentation which includes an investor slide deck, a copy of which is furnished herewith as Exhibit 99.1 to this Current Report on Form 8-K.</w:t>
      </w:r>
    </w:p>
    <w:p>
      <w:pPr>
        <w:spacing w:after="0" w:line="376" w:lineRule="exact"/>
        <w:rPr>
          <w:sz w:val="20"/>
          <w:szCs w:val="20"/>
          <w:color w:val="auto"/>
        </w:rPr>
      </w:pPr>
    </w:p>
    <w:p>
      <w:pPr>
        <w:ind w:left="8"/>
        <w:spacing w:after="0"/>
        <w:rPr>
          <w:sz w:val="20"/>
          <w:szCs w:val="20"/>
          <w:color w:val="auto"/>
        </w:rPr>
      </w:pPr>
      <w:r>
        <w:rPr>
          <w:rFonts w:ascii="Times New Roman" w:cs="Times New Roman" w:eastAsia="Times New Roman" w:hAnsi="Times New Roman"/>
          <w:sz w:val="11"/>
          <w:szCs w:val="11"/>
          <w:b w:val="1"/>
          <w:bCs w:val="1"/>
          <w:color w:val="auto"/>
        </w:rPr>
        <w:t>Item 9.01. Financial Statements and Exhibits</w:t>
      </w:r>
    </w:p>
    <w:p>
      <w:pPr>
        <w:spacing w:after="0" w:line="110" w:lineRule="exact"/>
        <w:rPr>
          <w:sz w:val="20"/>
          <w:szCs w:val="20"/>
          <w:color w:val="auto"/>
        </w:rPr>
      </w:pPr>
    </w:p>
    <w:p>
      <w:pPr>
        <w:ind w:left="228" w:hanging="228"/>
        <w:spacing w:after="0"/>
        <w:tabs>
          <w:tab w:leader="none" w:pos="228" w:val="left"/>
        </w:tabs>
        <w:numPr>
          <w:ilvl w:val="0"/>
          <w:numId w:val="2"/>
        </w:numPr>
        <w:rPr>
          <w:rFonts w:ascii="Times New Roman" w:cs="Times New Roman" w:eastAsia="Times New Roman" w:hAnsi="Times New Roman"/>
          <w:sz w:val="11"/>
          <w:szCs w:val="11"/>
          <w:color w:val="auto"/>
        </w:rPr>
      </w:pPr>
      <w:r>
        <w:rPr>
          <w:rFonts w:ascii="Times New Roman" w:cs="Times New Roman" w:eastAsia="Times New Roman" w:hAnsi="Times New Roman"/>
          <w:sz w:val="11"/>
          <w:szCs w:val="11"/>
          <w:color w:val="auto"/>
        </w:rPr>
        <w:t>Exhibits</w:t>
      </w:r>
    </w:p>
    <w:p>
      <w:pPr>
        <w:spacing w:after="0" w:line="108" w:lineRule="exact"/>
        <w:rPr>
          <w:sz w:val="20"/>
          <w:szCs w:val="20"/>
          <w:color w:val="auto"/>
        </w:rPr>
      </w:pPr>
    </w:p>
    <w:p>
      <w:pPr>
        <w:ind w:left="8"/>
        <w:spacing w:after="0"/>
        <w:rPr>
          <w:sz w:val="20"/>
          <w:szCs w:val="20"/>
          <w:color w:val="auto"/>
        </w:rPr>
      </w:pPr>
      <w:r>
        <w:rPr>
          <w:rFonts w:ascii="Times New Roman" w:cs="Times New Roman" w:eastAsia="Times New Roman" w:hAnsi="Times New Roman"/>
          <w:sz w:val="11"/>
          <w:szCs w:val="11"/>
          <w:color w:val="auto"/>
        </w:rPr>
        <w:t>The following exhibits are being furnished with this Form 8-K.</w:t>
      </w:r>
    </w:p>
    <w:p>
      <w:pPr>
        <w:spacing w:after="0" w:line="116" w:lineRule="exact"/>
        <w:rPr>
          <w:sz w:val="20"/>
          <w:szCs w:val="20"/>
          <w:color w:val="auto"/>
        </w:rPr>
      </w:pPr>
    </w:p>
    <w:tbl>
      <w:tblPr>
        <w:tblLayout w:type="fixed"/>
        <w:tblInd w:w="8" w:type="dxa"/>
        <w:tblCellMar>
          <w:top w:w="0" w:type="dxa"/>
          <w:left w:w="0" w:type="dxa"/>
          <w:bottom w:w="0" w:type="dxa"/>
          <w:right w:w="0" w:type="dxa"/>
        </w:tblCellMar>
      </w:tblPr>
      <w:tr>
        <w:trPr>
          <w:trHeight w:val="126"/>
        </w:trPr>
        <w:tc>
          <w:tcPr>
            <w:tcW w:w="20" w:type="dxa"/>
            <w:vAlign w:val="bottom"/>
          </w:tcPr>
          <w:p>
            <w:pPr>
              <w:spacing w:after="0"/>
              <w:rPr>
                <w:sz w:val="11"/>
                <w:szCs w:val="11"/>
                <w:color w:val="auto"/>
              </w:rPr>
            </w:pPr>
          </w:p>
        </w:tc>
        <w:tc>
          <w:tcPr>
            <w:tcW w:w="1000" w:type="dxa"/>
            <w:vAlign w:val="bottom"/>
            <w:gridSpan w:val="2"/>
          </w:tcPr>
          <w:p>
            <w:pPr>
              <w:spacing w:after="0"/>
              <w:rPr>
                <w:sz w:val="20"/>
                <w:szCs w:val="20"/>
                <w:color w:val="auto"/>
              </w:rPr>
            </w:pPr>
            <w:r>
              <w:rPr>
                <w:rFonts w:ascii="Times New Roman" w:cs="Times New Roman" w:eastAsia="Times New Roman" w:hAnsi="Times New Roman"/>
                <w:sz w:val="11"/>
                <w:szCs w:val="11"/>
                <w:color w:val="auto"/>
              </w:rPr>
              <w:t>Exhibit</w:t>
            </w:r>
          </w:p>
        </w:tc>
        <w:tc>
          <w:tcPr>
            <w:tcW w:w="520" w:type="dxa"/>
            <w:vAlign w:val="bottom"/>
            <w:vMerge w:val="restart"/>
          </w:tcPr>
          <w:p>
            <w:pPr>
              <w:ind w:left="20"/>
              <w:spacing w:after="0"/>
              <w:rPr>
                <w:sz w:val="20"/>
                <w:szCs w:val="20"/>
                <w:color w:val="auto"/>
              </w:rPr>
            </w:pPr>
            <w:r>
              <w:rPr>
                <w:rFonts w:ascii="Times New Roman" w:cs="Times New Roman" w:eastAsia="Times New Roman" w:hAnsi="Times New Roman"/>
                <w:sz w:val="11"/>
                <w:szCs w:val="11"/>
                <w:color w:val="auto"/>
                <w:w w:val="93"/>
              </w:rPr>
              <w:t>Description</w:t>
            </w:r>
          </w:p>
        </w:tc>
        <w:tc>
          <w:tcPr>
            <w:tcW w:w="9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360" w:type="dxa"/>
            <w:vAlign w:val="bottom"/>
            <w:tcBorders>
              <w:bottom w:val="single" w:sz="8" w:color="auto"/>
            </w:tcBorders>
          </w:tcPr>
          <w:p>
            <w:pPr>
              <w:spacing w:after="0" w:line="88" w:lineRule="exact"/>
              <w:rPr>
                <w:sz w:val="20"/>
                <w:szCs w:val="20"/>
                <w:color w:val="auto"/>
              </w:rPr>
            </w:pPr>
            <w:r>
              <w:rPr>
                <w:rFonts w:ascii="Times New Roman" w:cs="Times New Roman" w:eastAsia="Times New Roman" w:hAnsi="Times New Roman"/>
                <w:sz w:val="10"/>
                <w:szCs w:val="10"/>
                <w:color w:val="auto"/>
              </w:rPr>
              <w:t>Number</w:t>
            </w:r>
          </w:p>
        </w:tc>
        <w:tc>
          <w:tcPr>
            <w:tcW w:w="640" w:type="dxa"/>
            <w:vAlign w:val="bottom"/>
          </w:tcPr>
          <w:p>
            <w:pPr>
              <w:spacing w:after="0"/>
              <w:rPr>
                <w:sz w:val="10"/>
                <w:szCs w:val="10"/>
                <w:color w:val="auto"/>
              </w:rPr>
            </w:pPr>
          </w:p>
        </w:tc>
        <w:tc>
          <w:tcPr>
            <w:tcW w:w="520" w:type="dxa"/>
            <w:vAlign w:val="bottom"/>
            <w:tcBorders>
              <w:bottom w:val="single" w:sz="8" w:color="auto"/>
            </w:tcBorders>
            <w:vMerge w:val="continue"/>
          </w:tcPr>
          <w:p>
            <w:pPr>
              <w:spacing w:after="0"/>
              <w:rPr>
                <w:sz w:val="10"/>
                <w:szCs w:val="10"/>
                <w:color w:val="auto"/>
              </w:rPr>
            </w:pPr>
          </w:p>
        </w:tc>
        <w:tc>
          <w:tcPr>
            <w:tcW w:w="97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4"/>
        </w:trPr>
        <w:tc>
          <w:tcPr>
            <w:tcW w:w="380" w:type="dxa"/>
            <w:vAlign w:val="bottom"/>
            <w:gridSpan w:val="2"/>
          </w:tcPr>
          <w:p>
            <w:pPr>
              <w:ind w:left="20"/>
              <w:spacing w:after="0"/>
              <w:rPr>
                <w:sz w:val="20"/>
                <w:szCs w:val="20"/>
                <w:color w:val="auto"/>
              </w:rPr>
            </w:pPr>
            <w:r>
              <w:rPr>
                <w:rFonts w:ascii="Times New Roman" w:cs="Times New Roman" w:eastAsia="Times New Roman" w:hAnsi="Times New Roman"/>
                <w:sz w:val="11"/>
                <w:szCs w:val="11"/>
                <w:color w:val="auto"/>
              </w:rPr>
              <w:t>99.1</w:t>
            </w:r>
          </w:p>
        </w:tc>
        <w:tc>
          <w:tcPr>
            <w:tcW w:w="640" w:type="dxa"/>
            <w:vAlign w:val="bottom"/>
          </w:tcPr>
          <w:p>
            <w:pPr>
              <w:spacing w:after="0"/>
              <w:rPr>
                <w:sz w:val="13"/>
                <w:szCs w:val="13"/>
                <w:color w:val="auto"/>
              </w:rPr>
            </w:pPr>
          </w:p>
        </w:tc>
        <w:tc>
          <w:tcPr>
            <w:tcW w:w="10280" w:type="dxa"/>
            <w:vAlign w:val="bottom"/>
            <w:gridSpan w:val="2"/>
          </w:tcPr>
          <w:p>
            <w:pPr>
              <w:ind w:left="20"/>
              <w:spacing w:after="0"/>
              <w:rPr>
                <w:rFonts w:ascii="Times New Roman" w:cs="Times New Roman" w:eastAsia="Times New Roman" w:hAnsi="Times New Roman"/>
                <w:sz w:val="11"/>
                <w:szCs w:val="11"/>
                <w:u w:val="single" w:color="auto"/>
                <w:color w:val="0000FF"/>
              </w:rPr>
            </w:pPr>
            <w:hyperlink w:anchor="page4">
              <w:r>
                <w:rPr>
                  <w:rFonts w:ascii="Times New Roman" w:cs="Times New Roman" w:eastAsia="Times New Roman" w:hAnsi="Times New Roman"/>
                  <w:sz w:val="11"/>
                  <w:szCs w:val="11"/>
                  <w:u w:val="single" w:color="auto"/>
                  <w:color w:val="0000FF"/>
                </w:rPr>
                <w:t>Investor Presentation, dated October 2020.</w:t>
              </w:r>
            </w:hyperlink>
          </w:p>
        </w:tc>
        <w:tc>
          <w:tcPr>
            <w:tcW w:w="0" w:type="dxa"/>
            <w:vAlign w:val="bottom"/>
          </w:tcPr>
          <w:p>
            <w:pPr>
              <w:spacing w:after="0"/>
              <w:rPr>
                <w:sz w:val="1"/>
                <w:szCs w:val="1"/>
                <w:color w:val="auto"/>
              </w:rPr>
            </w:pPr>
          </w:p>
        </w:tc>
      </w:tr>
      <w:tr>
        <w:trPr>
          <w:trHeight w:val="171"/>
        </w:trPr>
        <w:tc>
          <w:tcPr>
            <w:tcW w:w="380" w:type="dxa"/>
            <w:vAlign w:val="bottom"/>
            <w:gridSpan w:val="2"/>
          </w:tcPr>
          <w:p>
            <w:pPr>
              <w:ind w:left="20"/>
              <w:spacing w:after="0"/>
              <w:rPr>
                <w:sz w:val="20"/>
                <w:szCs w:val="20"/>
                <w:color w:val="auto"/>
              </w:rPr>
            </w:pPr>
            <w:r>
              <w:rPr>
                <w:rFonts w:ascii="Times New Roman" w:cs="Times New Roman" w:eastAsia="Times New Roman" w:hAnsi="Times New Roman"/>
                <w:sz w:val="11"/>
                <w:szCs w:val="11"/>
                <w:color w:val="auto"/>
              </w:rPr>
              <w:t>104</w:t>
            </w:r>
          </w:p>
        </w:tc>
        <w:tc>
          <w:tcPr>
            <w:tcW w:w="640" w:type="dxa"/>
            <w:vAlign w:val="bottom"/>
          </w:tcPr>
          <w:p>
            <w:pPr>
              <w:spacing w:after="0"/>
              <w:rPr>
                <w:sz w:val="14"/>
                <w:szCs w:val="14"/>
                <w:color w:val="auto"/>
              </w:rPr>
            </w:pPr>
          </w:p>
        </w:tc>
        <w:tc>
          <w:tcPr>
            <w:tcW w:w="10280" w:type="dxa"/>
            <w:vAlign w:val="bottom"/>
            <w:gridSpan w:val="2"/>
          </w:tcPr>
          <w:p>
            <w:pPr>
              <w:ind w:left="20"/>
              <w:spacing w:after="0"/>
              <w:rPr>
                <w:sz w:val="20"/>
                <w:szCs w:val="20"/>
                <w:color w:val="auto"/>
              </w:rPr>
            </w:pPr>
            <w:r>
              <w:rPr>
                <w:rFonts w:ascii="Times New Roman" w:cs="Times New Roman" w:eastAsia="Times New Roman" w:hAnsi="Times New Roman"/>
                <w:sz w:val="11"/>
                <w:szCs w:val="11"/>
                <w:color w:val="auto"/>
              </w:rPr>
              <w:t>The cover page from this Current Report on Form 8-K, formatted in Inline XBRL.</w:t>
            </w:r>
          </w:p>
        </w:tc>
        <w:tc>
          <w:tcPr>
            <w:tcW w:w="0" w:type="dxa"/>
            <w:vAlign w:val="bottom"/>
          </w:tcPr>
          <w:p>
            <w:pPr>
              <w:spacing w:after="0"/>
              <w:rPr>
                <w:sz w:val="1"/>
                <w:szCs w:val="1"/>
                <w:color w:val="auto"/>
              </w:rPr>
            </w:pPr>
          </w:p>
        </w:tc>
      </w:tr>
      <w:tr>
        <w:trPr>
          <w:trHeight w:val="778"/>
        </w:trPr>
        <w:tc>
          <w:tcPr>
            <w:tcW w:w="20" w:type="dxa"/>
            <w:vAlign w:val="bottom"/>
            <w:tcBorders>
              <w:bottom w:val="single" w:sz="8" w:color="9A9A9A"/>
            </w:tcBorders>
          </w:tcPr>
          <w:p>
            <w:pPr>
              <w:spacing w:after="0"/>
              <w:rPr>
                <w:sz w:val="24"/>
                <w:szCs w:val="24"/>
                <w:color w:val="auto"/>
              </w:rPr>
            </w:pPr>
          </w:p>
        </w:tc>
        <w:tc>
          <w:tcPr>
            <w:tcW w:w="360" w:type="dxa"/>
            <w:vAlign w:val="bottom"/>
            <w:tcBorders>
              <w:bottom w:val="single" w:sz="8" w:color="9A9A9A"/>
            </w:tcBorders>
          </w:tcPr>
          <w:p>
            <w:pPr>
              <w:spacing w:after="0"/>
              <w:rPr>
                <w:sz w:val="24"/>
                <w:szCs w:val="24"/>
                <w:color w:val="auto"/>
              </w:rPr>
            </w:pPr>
          </w:p>
        </w:tc>
        <w:tc>
          <w:tcPr>
            <w:tcW w:w="640" w:type="dxa"/>
            <w:vAlign w:val="bottom"/>
            <w:tcBorders>
              <w:bottom w:val="single" w:sz="8" w:color="9A9A9A"/>
            </w:tcBorders>
          </w:tcPr>
          <w:p>
            <w:pPr>
              <w:spacing w:after="0"/>
              <w:rPr>
                <w:sz w:val="24"/>
                <w:szCs w:val="24"/>
                <w:color w:val="auto"/>
              </w:rPr>
            </w:pPr>
          </w:p>
        </w:tc>
        <w:tc>
          <w:tcPr>
            <w:tcW w:w="520" w:type="dxa"/>
            <w:vAlign w:val="bottom"/>
            <w:tcBorders>
              <w:bottom w:val="single" w:sz="8" w:color="9A9A9A"/>
            </w:tcBorders>
          </w:tcPr>
          <w:p>
            <w:pPr>
              <w:spacing w:after="0"/>
              <w:rPr>
                <w:sz w:val="24"/>
                <w:szCs w:val="24"/>
                <w:color w:val="auto"/>
              </w:rPr>
            </w:pPr>
          </w:p>
        </w:tc>
        <w:tc>
          <w:tcPr>
            <w:tcW w:w="97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7172325</wp:posOffset>
            </wp:positionH>
            <wp:positionV relativeFrom="paragraph">
              <wp:posOffset>-5080</wp:posOffset>
            </wp:positionV>
            <wp:extent cx="5715" cy="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715" cy="571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-10795</wp:posOffset>
            </wp:positionV>
            <wp:extent cx="5715" cy="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715" cy="11430"/>
                    </a:xfrm>
                    <a:prstGeom prst="rect">
                      <a:avLst/>
                    </a:prstGeom>
                    <a:noFill/>
                  </pic:spPr>
                </pic:pic>
              </a:graphicData>
            </a:graphic>
          </wp:anchor>
        </w:drawing>
      </w:r>
    </w:p>
    <w:p>
      <w:pPr>
        <w:sectPr>
          <w:pgSz w:w="11900" w:h="16838" w:orient="portrait"/>
          <w:cols w:equalWidth="0" w:num="1">
            <w:col w:w="11308"/>
          </w:cols>
          <w:pgMar w:left="292" w:top="641" w:right="299" w:bottom="1440" w:gutter="0" w:footer="0" w:header="0"/>
        </w:sectPr>
      </w:pPr>
    </w:p>
    <w:bookmarkStart w:id="2" w:name="page3"/>
    <w:bookmarkEnd w:id="2"/>
    <w:p>
      <w:pPr>
        <w:ind w:left="5320"/>
        <w:spacing w:after="0"/>
        <w:rPr>
          <w:sz w:val="20"/>
          <w:szCs w:val="20"/>
          <w:color w:val="auto"/>
        </w:rPr>
      </w:pPr>
      <w:r>
        <w:rPr>
          <w:rFonts w:ascii="Times New Roman" w:cs="Times New Roman" w:eastAsia="Times New Roman" w:hAnsi="Times New Roman"/>
          <w:sz w:val="11"/>
          <w:szCs w:val="11"/>
          <w:b w:val="1"/>
          <w:bCs w:val="1"/>
          <w:color w:val="auto"/>
        </w:rPr>
        <w:t>SIGNATURE</w:t>
      </w:r>
    </w:p>
    <w:p>
      <w:pPr>
        <w:spacing w:after="0" w:line="290"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Pursuant to the requirements of the Securities Exchange Act of 1934, the registrant has duly caused this report to be signed on its behalf by the undersigned hereunto duly authorized.</w:t>
      </w:r>
    </w:p>
    <w:p>
      <w:pPr>
        <w:spacing w:after="0" w:line="288" w:lineRule="exact"/>
        <w:rPr>
          <w:sz w:val="20"/>
          <w:szCs w:val="20"/>
          <w:color w:val="auto"/>
        </w:rPr>
      </w:pPr>
    </w:p>
    <w:p>
      <w:pPr>
        <w:spacing w:after="0"/>
        <w:rPr>
          <w:sz w:val="20"/>
          <w:szCs w:val="20"/>
          <w:color w:val="auto"/>
        </w:rPr>
      </w:pPr>
      <w:r>
        <w:rPr>
          <w:rFonts w:ascii="Times New Roman" w:cs="Times New Roman" w:eastAsia="Times New Roman" w:hAnsi="Times New Roman"/>
          <w:sz w:val="11"/>
          <w:szCs w:val="11"/>
          <w:color w:val="auto"/>
        </w:rPr>
        <w:t>Date: October 26, 2020</w:t>
      </w:r>
    </w:p>
    <w:p>
      <w:pPr>
        <w:spacing w:after="0" w:line="385" w:lineRule="exact"/>
        <w:rPr>
          <w:sz w:val="20"/>
          <w:szCs w:val="20"/>
          <w:color w:val="auto"/>
        </w:rPr>
      </w:pPr>
    </w:p>
    <w:p>
      <w:pPr>
        <w:ind w:left="4960"/>
        <w:spacing w:after="0"/>
        <w:rPr>
          <w:sz w:val="20"/>
          <w:szCs w:val="20"/>
          <w:color w:val="auto"/>
        </w:rPr>
      </w:pPr>
      <w:r>
        <w:rPr>
          <w:rFonts w:ascii="Times New Roman" w:cs="Times New Roman" w:eastAsia="Times New Roman" w:hAnsi="Times New Roman"/>
          <w:sz w:val="11"/>
          <w:szCs w:val="11"/>
          <w:b w:val="1"/>
          <w:bCs w:val="1"/>
          <w:color w:val="auto"/>
        </w:rPr>
        <w:t>AMERICAN EQUITY</w:t>
      </w:r>
    </w:p>
    <w:p>
      <w:pPr>
        <w:spacing w:after="0" w:line="45" w:lineRule="exact"/>
        <w:rPr>
          <w:sz w:val="20"/>
          <w:szCs w:val="20"/>
          <w:color w:val="auto"/>
        </w:rPr>
      </w:pPr>
    </w:p>
    <w:p>
      <w:pPr>
        <w:ind w:left="4960"/>
        <w:spacing w:after="0"/>
        <w:rPr>
          <w:sz w:val="20"/>
          <w:szCs w:val="20"/>
          <w:color w:val="auto"/>
        </w:rPr>
      </w:pPr>
      <w:r>
        <w:rPr>
          <w:rFonts w:ascii="Times New Roman" w:cs="Times New Roman" w:eastAsia="Times New Roman" w:hAnsi="Times New Roman"/>
          <w:sz w:val="11"/>
          <w:szCs w:val="11"/>
          <w:b w:val="1"/>
          <w:bCs w:val="1"/>
          <w:color w:val="auto"/>
        </w:rPr>
        <w:t>INVESTMENT LIFE HOLDING COMPANY</w:t>
      </w:r>
    </w:p>
    <w:p>
      <w:pPr>
        <w:spacing w:after="0" w:line="389" w:lineRule="exact"/>
        <w:rPr>
          <w:sz w:val="20"/>
          <w:szCs w:val="20"/>
          <w:color w:val="auto"/>
        </w:rPr>
      </w:pPr>
    </w:p>
    <w:tbl>
      <w:tblPr>
        <w:tblLayout w:type="fixed"/>
        <w:tblInd w:w="4960" w:type="dxa"/>
        <w:tblCellMar>
          <w:top w:w="0" w:type="dxa"/>
          <w:left w:w="0" w:type="dxa"/>
          <w:bottom w:w="0" w:type="dxa"/>
          <w:right w:w="0" w:type="dxa"/>
        </w:tblCellMar>
      </w:tblPr>
      <w:tr>
        <w:trPr>
          <w:trHeight w:val="140"/>
        </w:trPr>
        <w:tc>
          <w:tcPr>
            <w:tcW w:w="460" w:type="dxa"/>
            <w:vAlign w:val="bottom"/>
          </w:tcPr>
          <w:p>
            <w:pPr>
              <w:spacing w:after="0"/>
              <w:rPr>
                <w:sz w:val="20"/>
                <w:szCs w:val="20"/>
                <w:color w:val="auto"/>
              </w:rPr>
            </w:pPr>
            <w:r>
              <w:rPr>
                <w:rFonts w:ascii="Times New Roman" w:cs="Times New Roman" w:eastAsia="Times New Roman" w:hAnsi="Times New Roman"/>
                <w:sz w:val="11"/>
                <w:szCs w:val="11"/>
                <w:color w:val="auto"/>
              </w:rPr>
              <w:t>By:</w:t>
            </w:r>
          </w:p>
        </w:tc>
        <w:tc>
          <w:tcPr>
            <w:tcW w:w="4620" w:type="dxa"/>
            <w:vAlign w:val="bottom"/>
          </w:tcPr>
          <w:p>
            <w:pPr>
              <w:ind w:left="20"/>
              <w:spacing w:after="0"/>
              <w:rPr>
                <w:sz w:val="20"/>
                <w:szCs w:val="20"/>
                <w:color w:val="auto"/>
              </w:rPr>
            </w:pPr>
            <w:r>
              <w:rPr>
                <w:rFonts w:ascii="Times New Roman" w:cs="Times New Roman" w:eastAsia="Times New Roman" w:hAnsi="Times New Roman"/>
                <w:sz w:val="11"/>
                <w:szCs w:val="11"/>
                <w:color w:val="auto"/>
              </w:rPr>
              <w:t>/s/ Renee D. Montz</w:t>
            </w:r>
          </w:p>
        </w:tc>
      </w:tr>
      <w:tr>
        <w:trPr>
          <w:trHeight w:val="22"/>
        </w:trPr>
        <w:tc>
          <w:tcPr>
            <w:tcW w:w="460" w:type="dxa"/>
            <w:vAlign w:val="bottom"/>
          </w:tcPr>
          <w:p>
            <w:pPr>
              <w:spacing w:after="0" w:line="20" w:lineRule="exact"/>
              <w:rPr>
                <w:sz w:val="1"/>
                <w:szCs w:val="1"/>
                <w:color w:val="auto"/>
              </w:rPr>
            </w:pPr>
          </w:p>
        </w:tc>
        <w:tc>
          <w:tcPr>
            <w:tcW w:w="4620" w:type="dxa"/>
            <w:vAlign w:val="bottom"/>
            <w:tcBorders>
              <w:bottom w:val="single" w:sz="8" w:color="auto"/>
            </w:tcBorders>
          </w:tcPr>
          <w:p>
            <w:pPr>
              <w:spacing w:after="0" w:line="20" w:lineRule="exact"/>
              <w:rPr>
                <w:sz w:val="1"/>
                <w:szCs w:val="1"/>
                <w:color w:val="auto"/>
              </w:rPr>
            </w:pPr>
          </w:p>
        </w:tc>
      </w:tr>
      <w:tr>
        <w:trPr>
          <w:trHeight w:val="138"/>
        </w:trPr>
        <w:tc>
          <w:tcPr>
            <w:tcW w:w="460" w:type="dxa"/>
            <w:vAlign w:val="bottom"/>
          </w:tcPr>
          <w:p>
            <w:pPr>
              <w:spacing w:after="0"/>
              <w:rPr>
                <w:sz w:val="12"/>
                <w:szCs w:val="12"/>
                <w:color w:val="auto"/>
              </w:rPr>
            </w:pPr>
          </w:p>
        </w:tc>
        <w:tc>
          <w:tcPr>
            <w:tcW w:w="4620" w:type="dxa"/>
            <w:vAlign w:val="bottom"/>
          </w:tcPr>
          <w:p>
            <w:pPr>
              <w:ind w:left="20"/>
              <w:spacing w:after="0"/>
              <w:rPr>
                <w:sz w:val="20"/>
                <w:szCs w:val="20"/>
                <w:color w:val="auto"/>
              </w:rPr>
            </w:pPr>
            <w:r>
              <w:rPr>
                <w:rFonts w:ascii="Times New Roman" w:cs="Times New Roman" w:eastAsia="Times New Roman" w:hAnsi="Times New Roman"/>
                <w:sz w:val="11"/>
                <w:szCs w:val="11"/>
                <w:color w:val="auto"/>
              </w:rPr>
              <w:t>Renee D. Montz</w:t>
            </w:r>
          </w:p>
        </w:tc>
      </w:tr>
      <w:tr>
        <w:trPr>
          <w:trHeight w:val="171"/>
        </w:trPr>
        <w:tc>
          <w:tcPr>
            <w:tcW w:w="460" w:type="dxa"/>
            <w:vAlign w:val="bottom"/>
          </w:tcPr>
          <w:p>
            <w:pPr>
              <w:spacing w:after="0"/>
              <w:rPr>
                <w:sz w:val="14"/>
                <w:szCs w:val="14"/>
                <w:color w:val="auto"/>
              </w:rPr>
            </w:pPr>
          </w:p>
        </w:tc>
        <w:tc>
          <w:tcPr>
            <w:tcW w:w="4620" w:type="dxa"/>
            <w:vAlign w:val="bottom"/>
          </w:tcPr>
          <w:p>
            <w:pPr>
              <w:ind w:left="20"/>
              <w:spacing w:after="0"/>
              <w:rPr>
                <w:sz w:val="20"/>
                <w:szCs w:val="20"/>
                <w:color w:val="auto"/>
              </w:rPr>
            </w:pPr>
            <w:r>
              <w:rPr>
                <w:rFonts w:ascii="Times New Roman" w:cs="Times New Roman" w:eastAsia="Times New Roman" w:hAnsi="Times New Roman"/>
                <w:sz w:val="11"/>
                <w:szCs w:val="11"/>
                <w:color w:val="auto"/>
              </w:rPr>
              <w:t>Executive Vice President, General Counsel and</w:t>
            </w:r>
          </w:p>
        </w:tc>
      </w:tr>
      <w:tr>
        <w:trPr>
          <w:trHeight w:val="171"/>
        </w:trPr>
        <w:tc>
          <w:tcPr>
            <w:tcW w:w="460" w:type="dxa"/>
            <w:vAlign w:val="bottom"/>
          </w:tcPr>
          <w:p>
            <w:pPr>
              <w:spacing w:after="0"/>
              <w:rPr>
                <w:sz w:val="14"/>
                <w:szCs w:val="14"/>
                <w:color w:val="auto"/>
              </w:rPr>
            </w:pPr>
          </w:p>
        </w:tc>
        <w:tc>
          <w:tcPr>
            <w:tcW w:w="4620" w:type="dxa"/>
            <w:vAlign w:val="bottom"/>
          </w:tcPr>
          <w:p>
            <w:pPr>
              <w:ind w:left="20"/>
              <w:spacing w:after="0"/>
              <w:rPr>
                <w:sz w:val="20"/>
                <w:szCs w:val="20"/>
                <w:color w:val="auto"/>
              </w:rPr>
            </w:pPr>
            <w:r>
              <w:rPr>
                <w:rFonts w:ascii="Times New Roman" w:cs="Times New Roman" w:eastAsia="Times New Roman" w:hAnsi="Times New Roman"/>
                <w:sz w:val="11"/>
                <w:szCs w:val="11"/>
                <w:color w:val="auto"/>
              </w:rPr>
              <w:t>Corporate Secretary</w:t>
            </w:r>
          </w:p>
        </w:tc>
      </w:tr>
    </w:tbl>
    <w:p>
      <w:pPr>
        <w:sectPr>
          <w:pgSz w:w="11900" w:h="16838" w:orient="portrait"/>
          <w:cols w:equalWidth="0" w:num="1">
            <w:col w:w="10159"/>
          </w:cols>
          <w:pgMar w:left="300" w:top="641" w:right="1440" w:bottom="1440"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271780</wp:posOffset>
            </wp:positionV>
            <wp:extent cx="7130415" cy="37814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37814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0415" cy="37814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43C9869"/>
    <w:multiLevelType w:val="hybridMultilevel"/>
    <w:lvl w:ilvl="0">
      <w:lvlJc w:val="left"/>
      <w:lvlText w:val="☐"/>
      <w:numFmt w:val="bullet"/>
      <w:start w:val="1"/>
    </w:lvl>
  </w:abstractNum>
  <w:abstractNum w:abstractNumId="1">
    <w:nsid w:val="66334873"/>
    <w:multiLevelType w:val="hybridMultilevel"/>
    <w:lvl w:ilvl="0">
      <w:lvlJc w:val="left"/>
      <w:lvlText w:val="(%1)"/>
      <w:numFmt w:val="lowerLetter"/>
      <w:start w:val="4"/>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2020-10-26T15:36:38Z</dcterms:created>
  <dcterms:modified xsi:type="dcterms:W3CDTF">2020-10-26T15:36:38Z</dcterms:modified>
</cp:coreProperties>
</file>